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6F5F" w14:textId="4C549AFC" w:rsidR="007C5C2D" w:rsidRPr="000E1308" w:rsidRDefault="007C5C2D" w:rsidP="003C3105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36"/>
      </w:tblGrid>
      <w:tr w:rsidR="000E1308" w:rsidRPr="000E1308" w14:paraId="0BB0D6B8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5F6D019A" w14:textId="3A6D9B63" w:rsidR="00A561B6" w:rsidRPr="00593F3E" w:rsidRDefault="00F50DA6" w:rsidP="005079C0">
            <w:pPr>
              <w:jc w:val="center"/>
              <w:rPr>
                <w:b/>
                <w:bCs/>
                <w:sz w:val="26"/>
                <w:szCs w:val="26"/>
              </w:rPr>
            </w:pPr>
            <w:r w:rsidRPr="00593F3E">
              <w:rPr>
                <w:b/>
                <w:bCs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3D1453E" wp14:editId="09AD4ADE">
                  <wp:simplePos x="0" y="0"/>
                  <wp:positionH relativeFrom="column">
                    <wp:posOffset>-283210</wp:posOffset>
                  </wp:positionH>
                  <wp:positionV relativeFrom="page">
                    <wp:posOffset>27940</wp:posOffset>
                  </wp:positionV>
                  <wp:extent cx="464820" cy="312420"/>
                  <wp:effectExtent l="0" t="0" r="0" b="0"/>
                  <wp:wrapSquare wrapText="bothSides"/>
                  <wp:docPr id="27769227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1B6" w:rsidRPr="00593F3E">
              <w:rPr>
                <w:b/>
                <w:bCs/>
                <w:sz w:val="26"/>
                <w:szCs w:val="26"/>
              </w:rPr>
              <w:t>Obchodní akademie, Chrudim</w:t>
            </w:r>
          </w:p>
          <w:p w14:paraId="64FE5286" w14:textId="718A3F5B" w:rsidR="00A561B6" w:rsidRPr="000E1308" w:rsidRDefault="00A561B6" w:rsidP="005079C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93F3E">
              <w:rPr>
                <w:b/>
                <w:bCs/>
                <w:sz w:val="26"/>
                <w:szCs w:val="26"/>
              </w:rPr>
              <w:t>Tyršovo náměstí 250, 537 01 Chrudim II</w:t>
            </w:r>
          </w:p>
        </w:tc>
      </w:tr>
      <w:tr w:rsidR="00A561B6" w:rsidRPr="000E1308" w14:paraId="58E3503C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2901DAFE" w14:textId="77777777" w:rsidR="006E5E08" w:rsidRDefault="006E5E08">
            <w:pPr>
              <w:spacing w:after="160" w:line="259" w:lineRule="auto"/>
              <w:rPr>
                <w:b/>
                <w:bCs/>
                <w:sz w:val="26"/>
                <w:szCs w:val="26"/>
                <w:u w:val="single"/>
              </w:rPr>
            </w:pPr>
          </w:p>
          <w:p w14:paraId="1A2A03DF" w14:textId="01DD7C9A" w:rsidR="00A561B6" w:rsidRPr="00593F3E" w:rsidRDefault="005B08C8">
            <w:pPr>
              <w:spacing w:after="160" w:line="259" w:lineRule="auto"/>
              <w:rPr>
                <w:b/>
                <w:sz w:val="26"/>
                <w:szCs w:val="26"/>
                <w:u w:val="single"/>
              </w:rPr>
            </w:pPr>
            <w:r w:rsidRPr="00593F3E">
              <w:rPr>
                <w:b/>
                <w:bCs/>
                <w:sz w:val="26"/>
                <w:szCs w:val="26"/>
                <w:u w:val="single"/>
              </w:rPr>
              <w:t>Bezpečnostní směrnice pro žáky</w:t>
            </w:r>
            <w:r w:rsidRPr="00593F3E">
              <w:rPr>
                <w:b/>
                <w:bCs/>
                <w:sz w:val="26"/>
                <w:szCs w:val="26"/>
              </w:rPr>
              <w:t xml:space="preserve"> čj</w:t>
            </w:r>
            <w:r w:rsidRPr="00593F3E">
              <w:rPr>
                <w:b/>
                <w:sz w:val="26"/>
                <w:szCs w:val="26"/>
              </w:rPr>
              <w:t>.: OACR 856/2024</w:t>
            </w:r>
          </w:p>
        </w:tc>
      </w:tr>
    </w:tbl>
    <w:p w14:paraId="118CB61D" w14:textId="77777777" w:rsidR="003C3105" w:rsidRPr="000E1308" w:rsidRDefault="003C3105" w:rsidP="00F50DA6">
      <w:pPr>
        <w:rPr>
          <w:b/>
          <w:sz w:val="32"/>
          <w:szCs w:val="32"/>
          <w:u w:val="single"/>
        </w:rPr>
      </w:pPr>
    </w:p>
    <w:p w14:paraId="48ABE225" w14:textId="77777777" w:rsidR="009F6152" w:rsidRPr="000E1308" w:rsidRDefault="009F6152" w:rsidP="00F50DA6">
      <w:pPr>
        <w:rPr>
          <w:b/>
          <w:sz w:val="32"/>
          <w:szCs w:val="32"/>
          <w:u w:val="single"/>
        </w:rPr>
      </w:pPr>
    </w:p>
    <w:p w14:paraId="6EE91AB0" w14:textId="24FECCE4" w:rsidR="001E28E1" w:rsidRPr="000E1308" w:rsidRDefault="001E28E1" w:rsidP="001E28E1">
      <w:pPr>
        <w:jc w:val="center"/>
        <w:rPr>
          <w:sz w:val="28"/>
          <w:szCs w:val="28"/>
        </w:rPr>
      </w:pPr>
      <w:r w:rsidRPr="000E1308">
        <w:rPr>
          <w:b/>
          <w:bCs/>
          <w:sz w:val="28"/>
          <w:szCs w:val="28"/>
        </w:rPr>
        <w:t>BEZPEČNOSTNÍ SMĚRNICE PRO ŽÁKY</w:t>
      </w:r>
    </w:p>
    <w:p w14:paraId="10E7C5A0" w14:textId="77777777" w:rsidR="001E28E1" w:rsidRPr="000E1308" w:rsidRDefault="001E28E1" w:rsidP="001E28E1">
      <w:pPr>
        <w:jc w:val="center"/>
        <w:rPr>
          <w:sz w:val="22"/>
          <w:szCs w:val="22"/>
        </w:rPr>
      </w:pPr>
      <w:r w:rsidRPr="000E1308">
        <w:rPr>
          <w:sz w:val="22"/>
          <w:szCs w:val="22"/>
        </w:rPr>
        <w:t>(příloha školního řádu č. 3)</w:t>
      </w:r>
    </w:p>
    <w:p w14:paraId="463E2364" w14:textId="7FB1B750" w:rsidR="009F6152" w:rsidRPr="000E1308" w:rsidRDefault="009F6152" w:rsidP="001E28E1">
      <w:pPr>
        <w:ind w:left="708"/>
        <w:jc w:val="center"/>
        <w:rPr>
          <w:sz w:val="28"/>
          <w:szCs w:val="28"/>
        </w:rPr>
      </w:pPr>
    </w:p>
    <w:p w14:paraId="3A01B761" w14:textId="77777777" w:rsidR="009F6152" w:rsidRPr="000E1308" w:rsidRDefault="009F6152" w:rsidP="004F5047">
      <w:pPr>
        <w:pStyle w:val="Obsah1"/>
      </w:pPr>
    </w:p>
    <w:p w14:paraId="1A0C9935" w14:textId="77777777" w:rsidR="001E28E1" w:rsidRPr="000E1308" w:rsidRDefault="001E28E1" w:rsidP="001E28E1">
      <w:pPr>
        <w:jc w:val="both"/>
        <w:rPr>
          <w:b/>
          <w:bCs/>
        </w:rPr>
      </w:pPr>
      <w:r w:rsidRPr="000E1308">
        <w:rPr>
          <w:b/>
          <w:bCs/>
        </w:rPr>
        <w:t>Bezpečnost žáků ve škole je řešena metodickým pokynem Ministerstva školství, mládeže a tělovýchovy čj. 37 014/2005-25 k zajištění bezpečnosti a ochrany zdraví dětí, žáků a studentů ve školách a školských zařízeních zřizovaných Ministerstvem školství, mládeže a tělovýchovy.</w:t>
      </w:r>
    </w:p>
    <w:p w14:paraId="5C9E7D25" w14:textId="2BB064C7" w:rsidR="009F6152" w:rsidRPr="000E1308" w:rsidRDefault="0090490B" w:rsidP="0090490B">
      <w:pPr>
        <w:spacing w:after="160" w:line="259" w:lineRule="auto"/>
        <w:rPr>
          <w:b/>
          <w:bCs/>
          <w:sz w:val="26"/>
          <w:szCs w:val="26"/>
        </w:rPr>
      </w:pPr>
      <w:r w:rsidRPr="000E1308">
        <w:rPr>
          <w:b/>
          <w:bCs/>
          <w:sz w:val="26"/>
          <w:szCs w:val="26"/>
        </w:rPr>
        <w:br w:type="page"/>
      </w:r>
    </w:p>
    <w:p w14:paraId="78A00963" w14:textId="7EB342E2" w:rsidR="006156C7" w:rsidRDefault="004F5047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0E1308">
        <w:rPr>
          <w:rFonts w:asciiTheme="minorHAnsi" w:eastAsiaTheme="minorEastAsia" w:hAnsiTheme="minorHAnsi" w:cstheme="minorBidi"/>
          <w:noProof/>
          <w:kern w:val="2"/>
          <w14:ligatures w14:val="standardContextual"/>
        </w:rPr>
        <w:lastRenderedPageBreak/>
        <w:fldChar w:fldCharType="begin"/>
      </w:r>
      <w:r w:rsidRPr="000E1308">
        <w:rPr>
          <w:rFonts w:asciiTheme="minorHAnsi" w:eastAsiaTheme="minorEastAsia" w:hAnsiTheme="minorHAnsi" w:cstheme="minorBidi"/>
          <w:noProof/>
          <w:kern w:val="2"/>
          <w14:ligatures w14:val="standardContextual"/>
        </w:rPr>
        <w:instrText xml:space="preserve"> TOC \o "1-1" \h \z \u </w:instrText>
      </w:r>
      <w:r w:rsidRPr="000E1308">
        <w:rPr>
          <w:rFonts w:asciiTheme="minorHAnsi" w:eastAsiaTheme="minorEastAsia" w:hAnsiTheme="minorHAnsi" w:cstheme="minorBidi"/>
          <w:noProof/>
          <w:kern w:val="2"/>
          <w14:ligatures w14:val="standardContextual"/>
        </w:rPr>
        <w:fldChar w:fldCharType="separate"/>
      </w:r>
      <w:hyperlink w:anchor="_Toc175827036" w:history="1">
        <w:r w:rsidR="006156C7" w:rsidRPr="00ED6650">
          <w:rPr>
            <w:rStyle w:val="Hypertextovodkaz"/>
            <w:rFonts w:eastAsiaTheme="majorEastAsia"/>
            <w:noProof/>
          </w:rPr>
          <w:t>Čl. I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Poučení žáků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_Toc175827036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3</w:t>
        </w:r>
        <w:r w:rsidR="006156C7">
          <w:rPr>
            <w:noProof/>
            <w:webHidden/>
          </w:rPr>
          <w:fldChar w:fldCharType="end"/>
        </w:r>
      </w:hyperlink>
    </w:p>
    <w:p w14:paraId="2E9511F4" w14:textId="139B685A" w:rsidR="006156C7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7037" w:history="1">
        <w:r w:rsidR="006156C7" w:rsidRPr="00ED6650">
          <w:rPr>
            <w:rStyle w:val="Hypertextovodkaz"/>
            <w:rFonts w:eastAsiaTheme="majorEastAsia"/>
            <w:noProof/>
          </w:rPr>
          <w:t>Čl. II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Žáci jsou povinni zejména: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_Toc175827037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3</w:t>
        </w:r>
        <w:r w:rsidR="006156C7">
          <w:rPr>
            <w:noProof/>
            <w:webHidden/>
          </w:rPr>
          <w:fldChar w:fldCharType="end"/>
        </w:r>
      </w:hyperlink>
    </w:p>
    <w:p w14:paraId="27DE8234" w14:textId="5616CC0F" w:rsidR="006156C7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7038" w:history="1">
        <w:r w:rsidR="006156C7" w:rsidRPr="00ED6650">
          <w:rPr>
            <w:rStyle w:val="Hypertextovodkaz"/>
            <w:rFonts w:eastAsiaTheme="majorEastAsia"/>
            <w:noProof/>
          </w:rPr>
          <w:t>Čl. III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Žákům je zakázáno: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_Toc175827038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3</w:t>
        </w:r>
        <w:r w:rsidR="006156C7">
          <w:rPr>
            <w:noProof/>
            <w:webHidden/>
          </w:rPr>
          <w:fldChar w:fldCharType="end"/>
        </w:r>
      </w:hyperlink>
    </w:p>
    <w:p w14:paraId="1E35C016" w14:textId="205E1C0F" w:rsidR="006156C7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7039" w:history="1">
        <w:r w:rsidR="006156C7" w:rsidRPr="00ED6650">
          <w:rPr>
            <w:rStyle w:val="Hypertextovodkaz"/>
            <w:rFonts w:eastAsiaTheme="majorEastAsia"/>
            <w:noProof/>
          </w:rPr>
          <w:t>Čl. IV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Elektrická zařízení: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_Toc175827039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4</w:t>
        </w:r>
        <w:r w:rsidR="006156C7">
          <w:rPr>
            <w:noProof/>
            <w:webHidden/>
          </w:rPr>
          <w:fldChar w:fldCharType="end"/>
        </w:r>
      </w:hyperlink>
    </w:p>
    <w:p w14:paraId="0F16D281" w14:textId="38B91F51" w:rsidR="006156C7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7040" w:history="1">
        <w:r w:rsidR="006156C7" w:rsidRPr="00ED6650">
          <w:rPr>
            <w:rStyle w:val="Hypertextovodkaz"/>
            <w:rFonts w:eastAsiaTheme="majorEastAsia"/>
            <w:noProof/>
          </w:rPr>
          <w:t>Čl. V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Povinnosti žáků stanovené Požárním řádem školy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_Toc175827040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4</w:t>
        </w:r>
        <w:r w:rsidR="006156C7">
          <w:rPr>
            <w:noProof/>
            <w:webHidden/>
          </w:rPr>
          <w:fldChar w:fldCharType="end"/>
        </w:r>
      </w:hyperlink>
    </w:p>
    <w:p w14:paraId="79964F6A" w14:textId="14AFF9D2" w:rsidR="006156C7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7041" w:history="1">
        <w:r w:rsidR="006156C7" w:rsidRPr="00ED6650">
          <w:rPr>
            <w:rStyle w:val="Hypertextovodkaz"/>
            <w:rFonts w:eastAsiaTheme="majorEastAsia"/>
            <w:noProof/>
          </w:rPr>
          <w:t>Čl. VI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Důležitá telefonní čísla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_Toc175827041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5</w:t>
        </w:r>
        <w:r w:rsidR="006156C7">
          <w:rPr>
            <w:noProof/>
            <w:webHidden/>
          </w:rPr>
          <w:fldChar w:fldCharType="end"/>
        </w:r>
      </w:hyperlink>
    </w:p>
    <w:p w14:paraId="34D6CCFC" w14:textId="16718A53" w:rsidR="004F5047" w:rsidRPr="000E1308" w:rsidRDefault="004F5047" w:rsidP="004F5047">
      <w:pPr>
        <w:pStyle w:val="Obsah1"/>
        <w:rPr>
          <w:rFonts w:eastAsiaTheme="minorEastAsia"/>
          <w:noProof/>
        </w:rPr>
      </w:pPr>
      <w:r w:rsidRPr="000E1308">
        <w:rPr>
          <w:rFonts w:eastAsiaTheme="minorEastAsia"/>
          <w:noProof/>
        </w:rPr>
        <w:fldChar w:fldCharType="end"/>
      </w:r>
    </w:p>
    <w:p w14:paraId="066937A8" w14:textId="77777777" w:rsidR="004F5047" w:rsidRPr="000E1308" w:rsidRDefault="004F5047">
      <w:pPr>
        <w:spacing w:after="160" w:line="259" w:lineRule="auto"/>
        <w:rPr>
          <w:rFonts w:eastAsiaTheme="minorEastAsia"/>
          <w:noProof/>
        </w:rPr>
      </w:pPr>
      <w:r w:rsidRPr="000E1308">
        <w:rPr>
          <w:rFonts w:eastAsiaTheme="minorEastAsia"/>
          <w:noProof/>
        </w:rPr>
        <w:br w:type="page"/>
      </w:r>
    </w:p>
    <w:p w14:paraId="2BEC8AF2" w14:textId="063EDDFC" w:rsidR="001E28E1" w:rsidRPr="000E1308" w:rsidRDefault="001E28E1" w:rsidP="001E28E1">
      <w:pPr>
        <w:pStyle w:val="Nadpis1"/>
      </w:pPr>
      <w:bookmarkStart w:id="0" w:name="_Toc175824093"/>
      <w:bookmarkStart w:id="1" w:name="_Toc175827036"/>
      <w:r w:rsidRPr="000E1308">
        <w:lastRenderedPageBreak/>
        <w:t>Poučení žáků</w:t>
      </w:r>
      <w:bookmarkEnd w:id="0"/>
      <w:bookmarkEnd w:id="1"/>
    </w:p>
    <w:p w14:paraId="2C9B40CE" w14:textId="77777777" w:rsidR="001E28E1" w:rsidRPr="000E1308" w:rsidRDefault="001E28E1" w:rsidP="001E28E1">
      <w:pPr>
        <w:jc w:val="both"/>
        <w:rPr>
          <w:b/>
          <w:bCs/>
          <w:sz w:val="26"/>
          <w:szCs w:val="26"/>
        </w:rPr>
      </w:pPr>
    </w:p>
    <w:p w14:paraId="5B11DEF9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" w:name="_Toc175824094"/>
      <w:r w:rsidRPr="000E1308">
        <w:rPr>
          <w:color w:val="auto"/>
        </w:rPr>
        <w:t>Poučení žáků se provádí na úvod školního roku, v první hodině vyučovaných předmětů, před odbornou praxí a před činnostmi, při kterých může být zvýšené nebezpečí úrazu a před činnostmi prováděnými mimo budovu školy.</w:t>
      </w:r>
      <w:bookmarkEnd w:id="2"/>
    </w:p>
    <w:p w14:paraId="4543A535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3" w:name="_Toc175824095"/>
      <w:r w:rsidRPr="000E1308">
        <w:rPr>
          <w:color w:val="auto"/>
        </w:rPr>
        <w:t>Poučení provádí třídní učitel, učitel příslušného předmětu nebo vedoucí školní akce.</w:t>
      </w:r>
      <w:bookmarkEnd w:id="3"/>
    </w:p>
    <w:p w14:paraId="77AD5F5E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4" w:name="_Toc175824096"/>
      <w:r w:rsidRPr="000E1308">
        <w:rPr>
          <w:color w:val="auto"/>
        </w:rPr>
        <w:t>Obsah poučení je dán školním řádem s přílohami a vnitřními řády učeben.</w:t>
      </w:r>
      <w:bookmarkEnd w:id="4"/>
    </w:p>
    <w:p w14:paraId="4FB46C3C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5" w:name="_Toc175824097"/>
      <w:r w:rsidRPr="000E1308">
        <w:rPr>
          <w:color w:val="auto"/>
        </w:rPr>
        <w:t>Rozsah a forma poučení musejí být přiměřené věku a schopnostem žáků.</w:t>
      </w:r>
      <w:bookmarkEnd w:id="5"/>
    </w:p>
    <w:p w14:paraId="0DC6395E" w14:textId="2325A674" w:rsidR="001E28E1" w:rsidRPr="000E1308" w:rsidRDefault="001E28E1" w:rsidP="000E1308">
      <w:pPr>
        <w:pStyle w:val="Nadpis2"/>
        <w:jc w:val="both"/>
        <w:rPr>
          <w:color w:val="auto"/>
          <w:sz w:val="26"/>
        </w:rPr>
      </w:pPr>
      <w:bookmarkStart w:id="6" w:name="_Toc175824098"/>
      <w:r w:rsidRPr="000E1308">
        <w:rPr>
          <w:color w:val="auto"/>
        </w:rPr>
        <w:t>O průběhu poučení provede učitel záznam v třídní knize a vyhotoví seznam poučených žáků s jejich podpisy, dokládající porozumění poučení. Za správnost záznamu odpovídá učitel, který poučení žáků provedl.</w:t>
      </w:r>
      <w:bookmarkEnd w:id="6"/>
    </w:p>
    <w:p w14:paraId="1CC04183" w14:textId="77777777" w:rsidR="001E28E1" w:rsidRPr="000E1308" w:rsidRDefault="001E28E1" w:rsidP="001E28E1">
      <w:pPr>
        <w:pStyle w:val="Nadpis1"/>
      </w:pPr>
      <w:bookmarkStart w:id="7" w:name="_Toc175824099"/>
      <w:bookmarkStart w:id="8" w:name="_Toc175827037"/>
      <w:r w:rsidRPr="000E1308">
        <w:t>Žáci jsou povinni zejména:</w:t>
      </w:r>
      <w:bookmarkEnd w:id="7"/>
      <w:bookmarkEnd w:id="8"/>
    </w:p>
    <w:p w14:paraId="169E0F97" w14:textId="77777777" w:rsidR="001E28E1" w:rsidRPr="000E1308" w:rsidRDefault="001E28E1" w:rsidP="001E28E1">
      <w:pPr>
        <w:rPr>
          <w:b/>
          <w:bCs/>
          <w:sz w:val="26"/>
          <w:szCs w:val="26"/>
        </w:rPr>
      </w:pPr>
    </w:p>
    <w:p w14:paraId="48C8D4E5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9" w:name="_Toc175824100"/>
      <w:r w:rsidRPr="000E1308">
        <w:rPr>
          <w:color w:val="auto"/>
        </w:rPr>
        <w:t>Počínat si tak, aby neohrožovali zdraví a bezpečnost vlastní i svých spolužáků, vyvarovat se nevhodných žertů, kamarádských potyček apod.</w:t>
      </w:r>
      <w:bookmarkEnd w:id="9"/>
    </w:p>
    <w:p w14:paraId="0FD6ADD3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0" w:name="_Toc175824101"/>
      <w:r w:rsidRPr="000E1308">
        <w:rPr>
          <w:color w:val="auto"/>
        </w:rPr>
        <w:t>Důsledně na všech pracovištích školy dodržovat místní pracovní a bezpečnostní předpisy a vnitřní řády učeben, dodržovat stanovené pracovní postupy.</w:t>
      </w:r>
      <w:bookmarkEnd w:id="10"/>
    </w:p>
    <w:p w14:paraId="114A83E2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1" w:name="_Toc175824102"/>
      <w:r w:rsidRPr="000E1308">
        <w:rPr>
          <w:color w:val="auto"/>
        </w:rPr>
        <w:t>K přezouvání používat obuv s nesmekavou podrážkou.</w:t>
      </w:r>
      <w:bookmarkEnd w:id="11"/>
    </w:p>
    <w:p w14:paraId="3A386B81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2" w:name="_Toc175824103"/>
      <w:r w:rsidRPr="000E1308">
        <w:rPr>
          <w:color w:val="auto"/>
        </w:rPr>
        <w:t>Při přecházení mezi jednotlivými místy výuky a do jídelny dodržovat pravidla osobní bezpečnosti.</w:t>
      </w:r>
      <w:bookmarkEnd w:id="12"/>
    </w:p>
    <w:p w14:paraId="6DC11207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3" w:name="_Toc175824104"/>
      <w:r w:rsidRPr="000E1308">
        <w:rPr>
          <w:color w:val="auto"/>
        </w:rPr>
        <w:t>Při úrazu poskytnout první pomoc dle svých možností a zkušeností, případně zajistit lékařské ošetření. Neprovádět změny na místě úrazu, pokud nejsou nutné pro záchranu postiženého. Zajistit svědky úrazu.</w:t>
      </w:r>
      <w:bookmarkEnd w:id="13"/>
    </w:p>
    <w:p w14:paraId="719EDE58" w14:textId="2F71E03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4" w:name="_Toc175824105"/>
      <w:r w:rsidRPr="000E1308">
        <w:rPr>
          <w:color w:val="auto"/>
        </w:rPr>
        <w:t>Každý úraz neprodleně ohlásit vyučujícímu a následně v kanceláři školy.</w:t>
      </w:r>
      <w:bookmarkEnd w:id="14"/>
    </w:p>
    <w:p w14:paraId="76C4BCD8" w14:textId="1B54675B" w:rsidR="001E28E1" w:rsidRPr="000E1308" w:rsidRDefault="001E28E1" w:rsidP="001E28E1">
      <w:pPr>
        <w:pStyle w:val="Nadpis1"/>
      </w:pPr>
      <w:bookmarkStart w:id="15" w:name="_Toc175824106"/>
      <w:bookmarkStart w:id="16" w:name="_Toc175827038"/>
      <w:r w:rsidRPr="000E1308">
        <w:t>Žákům je zakázáno:</w:t>
      </w:r>
      <w:bookmarkEnd w:id="15"/>
      <w:bookmarkEnd w:id="16"/>
      <w:r w:rsidRPr="000E1308">
        <w:br/>
      </w:r>
    </w:p>
    <w:p w14:paraId="3D53C5CA" w14:textId="3ECF4581" w:rsidR="00972C07" w:rsidRPr="000E1308" w:rsidRDefault="00972C07" w:rsidP="00E21DEC">
      <w:pPr>
        <w:pStyle w:val="Nadpis2"/>
      </w:pPr>
      <w:bookmarkStart w:id="17" w:name="_Hlk175821714"/>
      <w:r w:rsidRPr="000E1308">
        <w:t xml:space="preserve">vstupovat do areálu školy pod vlivem návykové látky, nosit, držet, distribuovat a užívat návykové látky v celém areálu školy. Tento zákaz se vztahuje na alkohol, všechny typy drog, tabákové a nikotinové výrobky, omamné a psychotropní látky a jiné látky nebo léky s psychoaktivními či sedativními účinky, jejichž používání může vést nebo se podílet na vzniku a rozvoji duševních poruch a poruch chování (dle zákona č. 65/2017 Sb.). Výjimkou jsou samozřejmě léky předepsané lékařem s jasnou indikací léčby. Zákaz se vztahuje i na elektronické cigarety a výrobky napodobující funkci tabákového výrobku nebo tabákové předměty, jejichž účelem je vdechování nikotinových výparů, včetně příslušenství takových výrobků, dále pak na látky ovlivňující činnost mozku, jako jsou </w:t>
      </w:r>
      <w:proofErr w:type="spellStart"/>
      <w:r w:rsidRPr="000E1308">
        <w:t>kratom</w:t>
      </w:r>
      <w:proofErr w:type="spellEnd"/>
      <w:r w:rsidRPr="000E1308">
        <w:t xml:space="preserve"> apod. Porušení zákazu kouření je porušením zákona č. 379/2005 Sb. Výše zmíněná nařízení platí i pro všechny mimoškolní akce pořádané školou. </w:t>
      </w:r>
    </w:p>
    <w:p w14:paraId="28470E55" w14:textId="77777777" w:rsidR="000E1308" w:rsidRPr="000E1308" w:rsidRDefault="000E1308" w:rsidP="000E1308"/>
    <w:p w14:paraId="19232FC3" w14:textId="77777777" w:rsidR="001E28E1" w:rsidRPr="000E1308" w:rsidRDefault="001E28E1" w:rsidP="000E1308">
      <w:pPr>
        <w:pStyle w:val="Nadpis2"/>
        <w:rPr>
          <w:color w:val="auto"/>
        </w:rPr>
      </w:pPr>
      <w:bookmarkStart w:id="18" w:name="_Toc175824107"/>
      <w:bookmarkEnd w:id="17"/>
      <w:r w:rsidRPr="000E1308">
        <w:rPr>
          <w:color w:val="auto"/>
        </w:rPr>
        <w:t>Přinášet do školy a na činnosti organizované školou věci nebezpečné pro život a zdraví.</w:t>
      </w:r>
      <w:bookmarkEnd w:id="18"/>
    </w:p>
    <w:p w14:paraId="7DF8A6B1" w14:textId="77777777" w:rsidR="001E28E1" w:rsidRPr="000E1308" w:rsidRDefault="001E28E1" w:rsidP="000E1308">
      <w:pPr>
        <w:pStyle w:val="Nadpis2"/>
        <w:rPr>
          <w:color w:val="auto"/>
        </w:rPr>
      </w:pPr>
      <w:bookmarkStart w:id="19" w:name="_Toc175824108"/>
      <w:r w:rsidRPr="000E1308">
        <w:rPr>
          <w:color w:val="auto"/>
        </w:rPr>
        <w:t>Provádět o své vůli změny a úpravy na zařízení a svěřených pomůckách.</w:t>
      </w:r>
      <w:bookmarkEnd w:id="19"/>
    </w:p>
    <w:p w14:paraId="2AE32DB7" w14:textId="77777777" w:rsidR="001E28E1" w:rsidRPr="000E1308" w:rsidRDefault="001E28E1" w:rsidP="000E1308">
      <w:pPr>
        <w:pStyle w:val="Nadpis2"/>
        <w:rPr>
          <w:color w:val="auto"/>
        </w:rPr>
      </w:pPr>
      <w:bookmarkStart w:id="20" w:name="_Toc175824109"/>
      <w:r w:rsidRPr="000E1308">
        <w:rPr>
          <w:color w:val="auto"/>
        </w:rPr>
        <w:t>Vstupovat bez dovolení do zakázaných prostorů, zahajovat práce bez svolení vyučujícího, samostatně provádět nedovolené nebo neosvojené práce.</w:t>
      </w:r>
      <w:bookmarkEnd w:id="20"/>
    </w:p>
    <w:p w14:paraId="14DAD0D8" w14:textId="77777777" w:rsidR="000E1308" w:rsidRPr="000E1308" w:rsidRDefault="000E1308" w:rsidP="000E1308"/>
    <w:p w14:paraId="69430F24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1" w:name="_Toc175824110"/>
      <w:r w:rsidRPr="000E1308">
        <w:rPr>
          <w:color w:val="auto"/>
        </w:rPr>
        <w:lastRenderedPageBreak/>
        <w:t>Běhat po schodištích a chodbách, přeskakovat stupně schodů.</w:t>
      </w:r>
      <w:bookmarkEnd w:id="21"/>
    </w:p>
    <w:p w14:paraId="039AFE0D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2" w:name="_Toc175824111"/>
      <w:r w:rsidRPr="000E1308">
        <w:rPr>
          <w:color w:val="auto"/>
        </w:rPr>
        <w:t>Používat motorové a nemotorové prostředky k přesunům v době vyučování a při činnostech organizovaných školou.</w:t>
      </w:r>
      <w:bookmarkEnd w:id="22"/>
    </w:p>
    <w:p w14:paraId="5D3CF4FD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3" w:name="_Toc175824112"/>
      <w:r w:rsidRPr="000E1308">
        <w:rPr>
          <w:color w:val="auto"/>
        </w:rPr>
        <w:t>Sedat na parapety oken a vyklánět se z otevřených oken.</w:t>
      </w:r>
      <w:bookmarkEnd w:id="23"/>
    </w:p>
    <w:p w14:paraId="45E549EC" w14:textId="491E27F8" w:rsidR="00972C07" w:rsidRPr="000E1308" w:rsidRDefault="00972C07">
      <w:pPr>
        <w:spacing w:after="160" w:line="259" w:lineRule="auto"/>
        <w:rPr>
          <w:b/>
          <w:bCs/>
          <w:sz w:val="26"/>
          <w:szCs w:val="26"/>
        </w:rPr>
      </w:pPr>
    </w:p>
    <w:p w14:paraId="0851C4F8" w14:textId="77777777" w:rsidR="001E28E1" w:rsidRPr="000E1308" w:rsidRDefault="001E28E1" w:rsidP="001E28E1">
      <w:pPr>
        <w:pStyle w:val="Nadpis1"/>
      </w:pPr>
      <w:bookmarkStart w:id="24" w:name="_Toc175824113"/>
      <w:bookmarkStart w:id="25" w:name="_Toc175827039"/>
      <w:r w:rsidRPr="000E1308">
        <w:t>Elektrická zařízení:</w:t>
      </w:r>
      <w:bookmarkEnd w:id="24"/>
      <w:bookmarkEnd w:id="25"/>
    </w:p>
    <w:p w14:paraId="43FE1697" w14:textId="77777777" w:rsidR="001E28E1" w:rsidRPr="000E1308" w:rsidRDefault="001E28E1" w:rsidP="001E28E1">
      <w:pPr>
        <w:rPr>
          <w:b/>
          <w:bCs/>
          <w:sz w:val="26"/>
          <w:szCs w:val="26"/>
        </w:rPr>
      </w:pPr>
    </w:p>
    <w:p w14:paraId="05B5770D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6" w:name="_Toc175824114"/>
      <w:r w:rsidRPr="000E1308">
        <w:rPr>
          <w:color w:val="auto"/>
        </w:rPr>
        <w:t>Veškerá elektrická zařízení je možno provozovat pouze za předpokladu, že se seznámil s návodem na obsluhu a údržbu v souladu s NV č. 378/2001 Sb.</w:t>
      </w:r>
      <w:bookmarkEnd w:id="26"/>
      <w:r w:rsidRPr="000E1308">
        <w:rPr>
          <w:color w:val="auto"/>
        </w:rPr>
        <w:t xml:space="preserve"> </w:t>
      </w:r>
    </w:p>
    <w:p w14:paraId="582CA109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7" w:name="_Toc175824115"/>
      <w:r w:rsidRPr="000E1308">
        <w:rPr>
          <w:color w:val="auto"/>
        </w:rPr>
        <w:t>Žákům je zakázáno zasahovat do konstrukce či oprav jakéhokoliv elektrického zařízení.</w:t>
      </w:r>
      <w:bookmarkEnd w:id="27"/>
    </w:p>
    <w:p w14:paraId="5A78F3E6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8" w:name="_Toc175824116"/>
      <w:r w:rsidRPr="000E1308">
        <w:rPr>
          <w:color w:val="auto"/>
        </w:rPr>
        <w:t>V učebnách i ostatních prostorách školy je žákům zakázáno připojovat elektronická zařízení do elektrické sítě.</w:t>
      </w:r>
      <w:bookmarkEnd w:id="28"/>
    </w:p>
    <w:p w14:paraId="254DEE3B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9" w:name="_Toc175824117"/>
      <w:r w:rsidRPr="000E1308">
        <w:rPr>
          <w:color w:val="auto"/>
        </w:rPr>
        <w:t>Zjistí-li žáci při obsluze závadu, např. poškozenou izolaci nebo nepravidelný chod, jiskření, silné bručení, dráždivé účinky na lidský organismus (brnění, zápach), musí elektrické zařízení okamžitě odpojit a závadu ohlásit vyučujícímu. Poškozené zařízení se nesmí používat.</w:t>
      </w:r>
      <w:bookmarkEnd w:id="29"/>
    </w:p>
    <w:p w14:paraId="02356BEB" w14:textId="23309758" w:rsidR="001E28E1" w:rsidRPr="000E1308" w:rsidRDefault="001E28E1" w:rsidP="000E1308">
      <w:pPr>
        <w:pStyle w:val="Nadpis2"/>
        <w:jc w:val="both"/>
        <w:rPr>
          <w:color w:val="auto"/>
        </w:rPr>
      </w:pPr>
      <w:bookmarkStart w:id="30" w:name="_Toc175824118"/>
      <w:r w:rsidRPr="000E1308">
        <w:rPr>
          <w:color w:val="auto"/>
        </w:rPr>
        <w:t>Žáci se seznámí s umístěním nejbližšího hlavního vypínače a se způsobem vypnutí elektrického rozvodu v daných prostorách.</w:t>
      </w:r>
      <w:bookmarkEnd w:id="30"/>
    </w:p>
    <w:p w14:paraId="5679B577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31" w:name="_Toc175824119"/>
      <w:r w:rsidRPr="000E1308">
        <w:rPr>
          <w:color w:val="auto"/>
        </w:rPr>
        <w:t>První pomoc při úrazu elektrickým proudem:</w:t>
      </w:r>
      <w:bookmarkEnd w:id="31"/>
    </w:p>
    <w:p w14:paraId="508FD1FF" w14:textId="77777777" w:rsidR="001E28E1" w:rsidRPr="000E1308" w:rsidRDefault="001E28E1" w:rsidP="000E1308">
      <w:pPr>
        <w:pStyle w:val="Odstavecseseznamem"/>
        <w:numPr>
          <w:ilvl w:val="0"/>
          <w:numId w:val="21"/>
        </w:numPr>
        <w:jc w:val="both"/>
      </w:pPr>
      <w:r w:rsidRPr="000E1308">
        <w:t>Jednat rychle, rozvážně.</w:t>
      </w:r>
    </w:p>
    <w:p w14:paraId="6D248FEC" w14:textId="77777777" w:rsidR="001E28E1" w:rsidRPr="000E1308" w:rsidRDefault="001E28E1" w:rsidP="000E1308">
      <w:pPr>
        <w:pStyle w:val="Odstavecseseznamem"/>
        <w:numPr>
          <w:ilvl w:val="0"/>
          <w:numId w:val="21"/>
        </w:numPr>
        <w:jc w:val="both"/>
      </w:pPr>
      <w:r w:rsidRPr="000E1308">
        <w:t>Zařízení vypnout, po kontrole vypnutého stavu zahájit oživovací pokusy postiženého.</w:t>
      </w:r>
    </w:p>
    <w:p w14:paraId="0DCDC7CA" w14:textId="20213003" w:rsidR="00972C07" w:rsidRPr="000E1308" w:rsidRDefault="001E28E1" w:rsidP="000E1308">
      <w:pPr>
        <w:pStyle w:val="Odstavecseseznamem"/>
        <w:numPr>
          <w:ilvl w:val="0"/>
          <w:numId w:val="21"/>
        </w:numPr>
        <w:jc w:val="both"/>
      </w:pPr>
      <w:r w:rsidRPr="000E1308">
        <w:t>Zavolat lékařskou pomoc.</w:t>
      </w:r>
    </w:p>
    <w:p w14:paraId="343B95DB" w14:textId="766F7CCA" w:rsidR="00972C07" w:rsidRPr="000E1308" w:rsidRDefault="00972C07">
      <w:pPr>
        <w:spacing w:after="160" w:line="259" w:lineRule="auto"/>
      </w:pPr>
    </w:p>
    <w:p w14:paraId="58E69D46" w14:textId="77777777" w:rsidR="001E28E1" w:rsidRPr="000E1308" w:rsidRDefault="001E28E1" w:rsidP="008C1B1F">
      <w:pPr>
        <w:pStyle w:val="Nadpis1"/>
      </w:pPr>
      <w:bookmarkStart w:id="32" w:name="_Toc175824120"/>
      <w:bookmarkStart w:id="33" w:name="_Toc175827040"/>
      <w:r w:rsidRPr="000E1308">
        <w:t>Povinnosti žáků stanovené Požárním řádem školy</w:t>
      </w:r>
      <w:bookmarkEnd w:id="32"/>
      <w:bookmarkEnd w:id="33"/>
    </w:p>
    <w:p w14:paraId="222C69DD" w14:textId="77777777" w:rsidR="001E28E1" w:rsidRPr="000E1308" w:rsidRDefault="001E28E1" w:rsidP="001E28E1">
      <w:pPr>
        <w:rPr>
          <w:b/>
          <w:bCs/>
        </w:rPr>
      </w:pPr>
    </w:p>
    <w:p w14:paraId="1CE5F830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Žáci jsou povinni:</w:t>
      </w:r>
    </w:p>
    <w:p w14:paraId="67481EE6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Seznámit se s Požárním poplachovými směrnicemi a postupem evakuace. Umístěno v každém podlaží vedle schodiště. Tyto směrnice za všech okolností dodržovat.</w:t>
      </w:r>
    </w:p>
    <w:p w14:paraId="3E2B34E9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Dodržovat zákaz kouření v prostorách školy a v okolí školy a dodržovat zákaz manipulace a ohněm a hořlavými předměty.</w:t>
      </w:r>
    </w:p>
    <w:p w14:paraId="109FD43A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Nevstupovat bez dovolení do skladů školy, dílen údržby apod.</w:t>
      </w:r>
    </w:p>
    <w:p w14:paraId="588F8B38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Dbát poučení vyučujícího o požárních vlastnostech látek a materiálu, se kterými pracují.</w:t>
      </w:r>
    </w:p>
    <w:p w14:paraId="51C834EF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Okamžitě hlásit vyučujícímu, případně jinému pracovníkovi školy veškeré závady, které by mohly být příčinou požáru, výbuchu, úrazu, zátopy apod.</w:t>
      </w:r>
    </w:p>
    <w:p w14:paraId="05C75FE2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Zúčastňovat se školení a výcviku v požární ochraně a nácviku evakuace podle pokynů vyučujícího a ostatních pracovníků školy.</w:t>
      </w:r>
    </w:p>
    <w:p w14:paraId="7E85975A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Seznámit se s rozmístěním ručních hasících přístrojů ve škole a se způsobem jejich použití.</w:t>
      </w:r>
    </w:p>
    <w:p w14:paraId="7FE30356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Při vzniku požáru nebo při jiné kalamitní situaci postupovat rozvážně, snažit se podle obsahu zabránit rozšíření požáru, popř. jej likvidovat, pouze za předpokladu, že neohrozí vlastní zdraví.</w:t>
      </w:r>
    </w:p>
    <w:p w14:paraId="0A63DC79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Žáci jsou vždy povinni ohlásit požární nebezpečí jakémukoliv pracovníkovi školy, dodržovat jeho pokyny a ukázněně opustit pracoviště.</w:t>
      </w:r>
    </w:p>
    <w:p w14:paraId="0EF92E8B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Poskytnout pravdivé vylíčení kalamitní situace pro potřeby vyšetřujících orgánů.</w:t>
      </w:r>
    </w:p>
    <w:p w14:paraId="087B3BF4" w14:textId="569B81A8" w:rsidR="00972C07" w:rsidRPr="000E1308" w:rsidRDefault="00972C07">
      <w:pPr>
        <w:spacing w:after="160" w:line="259" w:lineRule="auto"/>
      </w:pPr>
      <w:r w:rsidRPr="000E1308">
        <w:br w:type="page"/>
      </w:r>
    </w:p>
    <w:p w14:paraId="26C9F435" w14:textId="77777777" w:rsidR="001E28E1" w:rsidRPr="000E1308" w:rsidRDefault="001E28E1" w:rsidP="001E28E1"/>
    <w:p w14:paraId="7AB7AE9E" w14:textId="77777777" w:rsidR="001E28E1" w:rsidRPr="000E1308" w:rsidRDefault="001E28E1" w:rsidP="008C1B1F">
      <w:pPr>
        <w:pStyle w:val="Nadpis1"/>
      </w:pPr>
      <w:bookmarkStart w:id="34" w:name="_Toc175824121"/>
      <w:bookmarkStart w:id="35" w:name="_Toc175827041"/>
      <w:r w:rsidRPr="000E1308">
        <w:t>Důležitá telefonní čísla</w:t>
      </w:r>
      <w:bookmarkEnd w:id="34"/>
      <w:bookmarkEnd w:id="35"/>
    </w:p>
    <w:p w14:paraId="73B2DF54" w14:textId="77777777" w:rsidR="001E28E1" w:rsidRPr="000E1308" w:rsidRDefault="001E28E1" w:rsidP="001E28E1"/>
    <w:p w14:paraId="302E8424" w14:textId="77777777" w:rsidR="001E28E1" w:rsidRPr="000E1308" w:rsidRDefault="001E28E1" w:rsidP="001E28E1"/>
    <w:p w14:paraId="03901ED7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Tísňové volání</w:t>
      </w:r>
      <w:r w:rsidRPr="000E1308">
        <w:rPr>
          <w:b/>
          <w:bCs/>
        </w:rPr>
        <w:tab/>
      </w:r>
      <w:r w:rsidRPr="000E1308">
        <w:rPr>
          <w:b/>
          <w:bCs/>
        </w:rPr>
        <w:tab/>
      </w:r>
      <w:r w:rsidRPr="000E1308">
        <w:rPr>
          <w:b/>
          <w:bCs/>
        </w:rPr>
        <w:tab/>
        <w:t>112</w:t>
      </w:r>
    </w:p>
    <w:p w14:paraId="4AFBD5B4" w14:textId="77777777" w:rsidR="001E28E1" w:rsidRPr="000E1308" w:rsidRDefault="001E28E1" w:rsidP="001E28E1">
      <w:pPr>
        <w:rPr>
          <w:b/>
          <w:bCs/>
        </w:rPr>
      </w:pPr>
    </w:p>
    <w:p w14:paraId="3A422BB0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Ohlašovna požáru – hasiči</w:t>
      </w:r>
      <w:r w:rsidRPr="000E1308">
        <w:rPr>
          <w:b/>
          <w:bCs/>
        </w:rPr>
        <w:tab/>
      </w:r>
      <w:r w:rsidRPr="000E1308">
        <w:rPr>
          <w:b/>
          <w:bCs/>
        </w:rPr>
        <w:tab/>
        <w:t>150</w:t>
      </w:r>
    </w:p>
    <w:p w14:paraId="1792DBDA" w14:textId="77777777" w:rsidR="001E28E1" w:rsidRPr="000E1308" w:rsidRDefault="001E28E1" w:rsidP="001E28E1">
      <w:pPr>
        <w:rPr>
          <w:b/>
          <w:bCs/>
        </w:rPr>
      </w:pPr>
    </w:p>
    <w:p w14:paraId="7808F6A9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Česká policie</w:t>
      </w:r>
      <w:r w:rsidRPr="000E1308">
        <w:rPr>
          <w:b/>
          <w:bCs/>
        </w:rPr>
        <w:tab/>
      </w:r>
      <w:r w:rsidRPr="000E1308">
        <w:rPr>
          <w:b/>
          <w:bCs/>
        </w:rPr>
        <w:tab/>
      </w:r>
      <w:r w:rsidRPr="000E1308">
        <w:rPr>
          <w:b/>
          <w:bCs/>
        </w:rPr>
        <w:tab/>
      </w:r>
      <w:r w:rsidRPr="000E1308">
        <w:rPr>
          <w:b/>
          <w:bCs/>
        </w:rPr>
        <w:tab/>
        <w:t>158</w:t>
      </w:r>
    </w:p>
    <w:p w14:paraId="0AEBA1A4" w14:textId="77777777" w:rsidR="001E28E1" w:rsidRPr="000E1308" w:rsidRDefault="001E28E1" w:rsidP="001E28E1">
      <w:pPr>
        <w:rPr>
          <w:b/>
          <w:bCs/>
        </w:rPr>
      </w:pPr>
    </w:p>
    <w:p w14:paraId="0CA4C7F4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Záchranná služba</w:t>
      </w:r>
      <w:r w:rsidRPr="000E1308">
        <w:rPr>
          <w:b/>
          <w:bCs/>
        </w:rPr>
        <w:tab/>
      </w:r>
      <w:r w:rsidRPr="000E1308">
        <w:rPr>
          <w:b/>
          <w:bCs/>
        </w:rPr>
        <w:tab/>
      </w:r>
      <w:r w:rsidRPr="000E1308">
        <w:rPr>
          <w:b/>
          <w:bCs/>
        </w:rPr>
        <w:tab/>
        <w:t>155</w:t>
      </w:r>
    </w:p>
    <w:p w14:paraId="28979809" w14:textId="77777777" w:rsidR="001E28E1" w:rsidRPr="000E1308" w:rsidRDefault="001E28E1" w:rsidP="001E28E1"/>
    <w:p w14:paraId="5AB0542E" w14:textId="77777777" w:rsidR="001E28E1" w:rsidRPr="000E1308" w:rsidRDefault="001E28E1" w:rsidP="001E28E1">
      <w:r w:rsidRPr="000E1308">
        <w:t>Čísla tísňového volání lze volat ze všech telefonních přístrojů ve škole. Jejich zneužití je trestné!!!</w:t>
      </w:r>
    </w:p>
    <w:p w14:paraId="6DB09FBA" w14:textId="77777777" w:rsidR="001E28E1" w:rsidRPr="000E1308" w:rsidRDefault="001E28E1" w:rsidP="001E28E1"/>
    <w:p w14:paraId="149FDBFA" w14:textId="09F935B7" w:rsidR="009F6152" w:rsidRPr="000E1308" w:rsidRDefault="009F6152" w:rsidP="008C1B1F">
      <w:pPr>
        <w:spacing w:after="160" w:line="259" w:lineRule="auto"/>
      </w:pPr>
    </w:p>
    <w:p w14:paraId="48F7759E" w14:textId="77777777" w:rsidR="000E1308" w:rsidRPr="000E1308" w:rsidRDefault="000E1308" w:rsidP="008C1B1F">
      <w:pPr>
        <w:spacing w:after="160" w:line="259" w:lineRule="auto"/>
      </w:pPr>
    </w:p>
    <w:p w14:paraId="0AD39B7B" w14:textId="77777777" w:rsidR="000E1308" w:rsidRPr="000E1308" w:rsidRDefault="000E1308" w:rsidP="008C1B1F">
      <w:pPr>
        <w:spacing w:after="160" w:line="259" w:lineRule="auto"/>
      </w:pPr>
    </w:p>
    <w:p w14:paraId="734CC033" w14:textId="77777777" w:rsidR="000E1308" w:rsidRPr="000E1308" w:rsidRDefault="000E1308" w:rsidP="008C1B1F">
      <w:pPr>
        <w:spacing w:after="160" w:line="259" w:lineRule="auto"/>
      </w:pPr>
    </w:p>
    <w:p w14:paraId="74229EBF" w14:textId="77777777" w:rsidR="000E1308" w:rsidRPr="000E1308" w:rsidRDefault="000E1308" w:rsidP="008C1B1F">
      <w:pPr>
        <w:spacing w:after="160" w:line="259" w:lineRule="auto"/>
      </w:pPr>
    </w:p>
    <w:p w14:paraId="43660992" w14:textId="77777777" w:rsidR="000E1308" w:rsidRPr="000E1308" w:rsidRDefault="000E1308" w:rsidP="008C1B1F">
      <w:pPr>
        <w:spacing w:after="160" w:line="259" w:lineRule="auto"/>
      </w:pPr>
    </w:p>
    <w:p w14:paraId="142D37CB" w14:textId="77777777" w:rsidR="000E1308" w:rsidRPr="000E1308" w:rsidRDefault="000E1308" w:rsidP="008C1B1F">
      <w:pPr>
        <w:spacing w:after="160" w:line="259" w:lineRule="auto"/>
      </w:pPr>
    </w:p>
    <w:p w14:paraId="24FE7127" w14:textId="77777777" w:rsidR="000E1308" w:rsidRPr="000E1308" w:rsidRDefault="000E1308" w:rsidP="008C1B1F">
      <w:pPr>
        <w:spacing w:after="160" w:line="259" w:lineRule="auto"/>
      </w:pPr>
    </w:p>
    <w:p w14:paraId="69CE1489" w14:textId="77777777" w:rsidR="000E1308" w:rsidRPr="000E1308" w:rsidRDefault="000E1308" w:rsidP="008C1B1F">
      <w:pPr>
        <w:spacing w:after="160" w:line="259" w:lineRule="auto"/>
      </w:pPr>
    </w:p>
    <w:p w14:paraId="53C6C043" w14:textId="77777777" w:rsidR="009F6152" w:rsidRPr="000E1308" w:rsidRDefault="009F6152" w:rsidP="009F6152">
      <w:pPr>
        <w:jc w:val="both"/>
      </w:pPr>
    </w:p>
    <w:p w14:paraId="0ACABE42" w14:textId="77777777" w:rsidR="009F6152" w:rsidRPr="000E1308" w:rsidRDefault="009F6152" w:rsidP="009F6152">
      <w:pPr>
        <w:jc w:val="both"/>
      </w:pPr>
    </w:p>
    <w:p w14:paraId="1EF19D61" w14:textId="77777777" w:rsidR="009F6152" w:rsidRPr="000E1308" w:rsidRDefault="009F6152" w:rsidP="009F6152">
      <w:pPr>
        <w:jc w:val="both"/>
      </w:pPr>
    </w:p>
    <w:p w14:paraId="0450BA9C" w14:textId="77777777" w:rsidR="000E1308" w:rsidRPr="000E1308" w:rsidRDefault="000E1308" w:rsidP="009F6152">
      <w:pPr>
        <w:jc w:val="both"/>
      </w:pPr>
    </w:p>
    <w:p w14:paraId="11E02ABF" w14:textId="77777777" w:rsidR="000E1308" w:rsidRPr="000E1308" w:rsidRDefault="000E1308" w:rsidP="009F6152">
      <w:pPr>
        <w:jc w:val="both"/>
      </w:pPr>
    </w:p>
    <w:p w14:paraId="7858AFCA" w14:textId="77777777" w:rsidR="000E1308" w:rsidRPr="000E1308" w:rsidRDefault="000E1308" w:rsidP="009F6152">
      <w:pPr>
        <w:jc w:val="both"/>
      </w:pPr>
    </w:p>
    <w:p w14:paraId="6A029172" w14:textId="77777777" w:rsidR="000E1308" w:rsidRPr="000E1308" w:rsidRDefault="000E1308" w:rsidP="009F6152">
      <w:pPr>
        <w:jc w:val="both"/>
      </w:pPr>
    </w:p>
    <w:p w14:paraId="3B5B036B" w14:textId="77777777" w:rsidR="000E1308" w:rsidRPr="000E1308" w:rsidRDefault="000E1308" w:rsidP="009F6152">
      <w:pPr>
        <w:jc w:val="both"/>
      </w:pPr>
    </w:p>
    <w:p w14:paraId="447D2835" w14:textId="77777777" w:rsidR="000E1308" w:rsidRPr="000E1308" w:rsidRDefault="000E1308" w:rsidP="009F6152">
      <w:pPr>
        <w:jc w:val="both"/>
      </w:pPr>
    </w:p>
    <w:p w14:paraId="0B2DE12C" w14:textId="77777777" w:rsidR="000E1308" w:rsidRPr="000E1308" w:rsidRDefault="000E1308" w:rsidP="009F6152">
      <w:pPr>
        <w:jc w:val="both"/>
      </w:pPr>
    </w:p>
    <w:p w14:paraId="36E79E3D" w14:textId="77777777" w:rsidR="000E1308" w:rsidRPr="000E1308" w:rsidRDefault="000E1308" w:rsidP="009F6152">
      <w:pPr>
        <w:jc w:val="both"/>
      </w:pPr>
    </w:p>
    <w:p w14:paraId="3084A519" w14:textId="77777777" w:rsidR="000E1308" w:rsidRPr="000E1308" w:rsidRDefault="000E1308" w:rsidP="009F6152">
      <w:pPr>
        <w:jc w:val="both"/>
      </w:pPr>
    </w:p>
    <w:p w14:paraId="287F16AF" w14:textId="77777777" w:rsidR="000E1308" w:rsidRPr="000E1308" w:rsidRDefault="000E1308" w:rsidP="009F6152">
      <w:pPr>
        <w:jc w:val="both"/>
      </w:pPr>
    </w:p>
    <w:p w14:paraId="362F5CF1" w14:textId="77777777" w:rsidR="009F6152" w:rsidRPr="000E1308" w:rsidRDefault="009F6152" w:rsidP="009F6152">
      <w:pPr>
        <w:jc w:val="both"/>
      </w:pPr>
    </w:p>
    <w:p w14:paraId="5C640BDC" w14:textId="0DAD37DE" w:rsidR="008730C3" w:rsidRPr="00C903C4" w:rsidRDefault="008730C3" w:rsidP="008730C3">
      <w:pPr>
        <w:jc w:val="both"/>
      </w:pPr>
      <w:r w:rsidRPr="00C903C4">
        <w:t>V Chrudimi 30. srpna 2024</w:t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  <w:t>Mgr. Šárka Pudilová v. r.</w:t>
      </w:r>
    </w:p>
    <w:p w14:paraId="0527DC74" w14:textId="03A884E7" w:rsidR="008730C3" w:rsidRPr="00AC20BA" w:rsidRDefault="008730C3" w:rsidP="008730C3">
      <w:pPr>
        <w:jc w:val="both"/>
      </w:pP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  <w:t xml:space="preserve">         ředitelka školy</w:t>
      </w:r>
    </w:p>
    <w:p w14:paraId="20EAF5D9" w14:textId="4A70972A" w:rsidR="00027136" w:rsidRPr="000E1308" w:rsidRDefault="00027136" w:rsidP="008730C3">
      <w:pPr>
        <w:jc w:val="both"/>
      </w:pPr>
    </w:p>
    <w:sectPr w:rsidR="00027136" w:rsidRPr="000E1308" w:rsidSect="0010700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AB0B" w14:textId="77777777" w:rsidR="001E7D6E" w:rsidRDefault="001E7D6E" w:rsidP="001E19D6">
      <w:r>
        <w:separator/>
      </w:r>
    </w:p>
  </w:endnote>
  <w:endnote w:type="continuationSeparator" w:id="0">
    <w:p w14:paraId="6B8273D5" w14:textId="77777777" w:rsidR="001E7D6E" w:rsidRDefault="001E7D6E" w:rsidP="001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402857"/>
      <w:docPartObj>
        <w:docPartGallery w:val="Page Numbers (Bottom of Page)"/>
        <w:docPartUnique/>
      </w:docPartObj>
    </w:sdtPr>
    <w:sdtContent>
      <w:p w14:paraId="04E3891B" w14:textId="4DBA6946" w:rsidR="001E19D6" w:rsidRDefault="001E19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63">
          <w:rPr>
            <w:noProof/>
          </w:rPr>
          <w:t>10</w:t>
        </w:r>
        <w:r>
          <w:fldChar w:fldCharType="end"/>
        </w:r>
      </w:p>
    </w:sdtContent>
  </w:sdt>
  <w:p w14:paraId="561B5F07" w14:textId="77777777" w:rsidR="001E19D6" w:rsidRDefault="001E1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17AB" w14:textId="77777777" w:rsidR="001E7D6E" w:rsidRDefault="001E7D6E" w:rsidP="001E19D6">
      <w:r>
        <w:separator/>
      </w:r>
    </w:p>
  </w:footnote>
  <w:footnote w:type="continuationSeparator" w:id="0">
    <w:p w14:paraId="49124D6C" w14:textId="77777777" w:rsidR="001E7D6E" w:rsidRDefault="001E7D6E" w:rsidP="001E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47164E18" w14:textId="77777777" w:rsidR="007C5C2D" w:rsidRPr="00872995" w:rsidRDefault="007C5C2D" w:rsidP="001E28E1">
        <w:r w:rsidRPr="00872995">
          <w:t xml:space="preserve">Stránka </w:t>
        </w:r>
        <w:r w:rsidRPr="00872995">
          <w:rPr>
            <w:b/>
            <w:bCs/>
          </w:rPr>
          <w:fldChar w:fldCharType="begin"/>
        </w:r>
        <w:r w:rsidRPr="00872995">
          <w:rPr>
            <w:b/>
            <w:bCs/>
          </w:rPr>
          <w:instrText>PAGE</w:instrText>
        </w:r>
        <w:r w:rsidRPr="00872995">
          <w:rPr>
            <w:b/>
            <w:bCs/>
          </w:rPr>
          <w:fldChar w:fldCharType="separate"/>
        </w:r>
        <w:r w:rsidR="00114C63" w:rsidRPr="00872995">
          <w:rPr>
            <w:b/>
            <w:bCs/>
            <w:noProof/>
          </w:rPr>
          <w:t>10</w:t>
        </w:r>
        <w:r w:rsidRPr="00872995">
          <w:rPr>
            <w:b/>
            <w:bCs/>
          </w:rPr>
          <w:fldChar w:fldCharType="end"/>
        </w:r>
        <w:r w:rsidRPr="00872995">
          <w:t xml:space="preserve"> z </w:t>
        </w:r>
        <w:r w:rsidRPr="00872995">
          <w:rPr>
            <w:b/>
            <w:bCs/>
          </w:rPr>
          <w:fldChar w:fldCharType="begin"/>
        </w:r>
        <w:r w:rsidRPr="00872995">
          <w:rPr>
            <w:b/>
            <w:bCs/>
          </w:rPr>
          <w:instrText>NUMPAGES</w:instrText>
        </w:r>
        <w:r w:rsidRPr="00872995">
          <w:rPr>
            <w:b/>
            <w:bCs/>
          </w:rPr>
          <w:fldChar w:fldCharType="separate"/>
        </w:r>
        <w:r w:rsidR="00114C63" w:rsidRPr="00872995">
          <w:rPr>
            <w:b/>
            <w:bCs/>
            <w:noProof/>
          </w:rPr>
          <w:t>11</w:t>
        </w:r>
        <w:r w:rsidRPr="00872995">
          <w:rPr>
            <w:b/>
            <w:bCs/>
          </w:rPr>
          <w:fldChar w:fldCharType="end"/>
        </w:r>
        <w:r w:rsidRPr="00872995">
          <w:rPr>
            <w:b/>
            <w:bCs/>
          </w:rPr>
          <w:tab/>
        </w:r>
        <w:r w:rsidR="00972C07" w:rsidRPr="00872995">
          <w:rPr>
            <w:b/>
            <w:bCs/>
          </w:rPr>
          <w:tab/>
        </w:r>
        <w:r w:rsidR="00972C07" w:rsidRPr="00872995">
          <w:rPr>
            <w:b/>
            <w:bCs/>
          </w:rPr>
          <w:tab/>
        </w:r>
        <w:r w:rsidR="00872995">
          <w:rPr>
            <w:b/>
            <w:bCs/>
          </w:rPr>
          <w:tab/>
        </w:r>
        <w:r w:rsidR="00872995">
          <w:rPr>
            <w:b/>
            <w:bCs/>
          </w:rPr>
          <w:tab/>
        </w:r>
        <w:r w:rsidR="00972C07" w:rsidRPr="00872995">
          <w:rPr>
            <w:b/>
            <w:bCs/>
          </w:rPr>
          <w:tab/>
        </w:r>
        <w:r w:rsidR="006E5E08">
          <w:rPr>
            <w:b/>
            <w:bCs/>
          </w:rPr>
          <w:t xml:space="preserve">                    </w:t>
        </w:r>
        <w:r w:rsidR="001E28E1" w:rsidRPr="00872995">
          <w:rPr>
            <w:b/>
            <w:bCs/>
          </w:rPr>
          <w:t>BEZPEČNOSTNÍ SMĚRNICE PRO ŽÁKY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8F7"/>
    <w:multiLevelType w:val="hybridMultilevel"/>
    <w:tmpl w:val="13BA1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587"/>
    <w:multiLevelType w:val="hybridMultilevel"/>
    <w:tmpl w:val="9126F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8EF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1BE"/>
    <w:multiLevelType w:val="hybridMultilevel"/>
    <w:tmpl w:val="FEC09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3ECD"/>
    <w:multiLevelType w:val="hybridMultilevel"/>
    <w:tmpl w:val="058C3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86E"/>
    <w:multiLevelType w:val="hybridMultilevel"/>
    <w:tmpl w:val="80DE4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D9E"/>
    <w:multiLevelType w:val="hybridMultilevel"/>
    <w:tmpl w:val="5B042F1E"/>
    <w:lvl w:ilvl="0" w:tplc="4FEA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6623D"/>
    <w:multiLevelType w:val="hybridMultilevel"/>
    <w:tmpl w:val="23028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31581"/>
    <w:multiLevelType w:val="hybridMultilevel"/>
    <w:tmpl w:val="4E383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4E8E"/>
    <w:multiLevelType w:val="hybridMultilevel"/>
    <w:tmpl w:val="B94C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82725"/>
    <w:multiLevelType w:val="hybridMultilevel"/>
    <w:tmpl w:val="E4EE1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5E80"/>
    <w:multiLevelType w:val="hybridMultilevel"/>
    <w:tmpl w:val="45CE7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93C0B"/>
    <w:multiLevelType w:val="hybridMultilevel"/>
    <w:tmpl w:val="581C98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44EC5"/>
    <w:multiLevelType w:val="hybridMultilevel"/>
    <w:tmpl w:val="4808C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55E1D"/>
    <w:multiLevelType w:val="hybridMultilevel"/>
    <w:tmpl w:val="A934C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2565"/>
    <w:multiLevelType w:val="hybridMultilevel"/>
    <w:tmpl w:val="44B42F30"/>
    <w:lvl w:ilvl="0" w:tplc="89CCF4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53DA7"/>
    <w:multiLevelType w:val="hybridMultilevel"/>
    <w:tmpl w:val="CDCA5C08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BA5458"/>
    <w:multiLevelType w:val="hybridMultilevel"/>
    <w:tmpl w:val="FA204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E3463"/>
    <w:multiLevelType w:val="hybridMultilevel"/>
    <w:tmpl w:val="F51E3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654CF"/>
    <w:multiLevelType w:val="hybridMultilevel"/>
    <w:tmpl w:val="87A8C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57EEA"/>
    <w:multiLevelType w:val="multilevel"/>
    <w:tmpl w:val="720210FC"/>
    <w:lvl w:ilvl="0">
      <w:start w:val="1"/>
      <w:numFmt w:val="upperRoman"/>
      <w:pStyle w:val="Nadpis1"/>
      <w:lvlText w:val="Čl. 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FF65143"/>
    <w:multiLevelType w:val="hybridMultilevel"/>
    <w:tmpl w:val="79F09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313">
    <w:abstractNumId w:val="19"/>
  </w:num>
  <w:num w:numId="2" w16cid:durableId="20783013">
    <w:abstractNumId w:val="1"/>
  </w:num>
  <w:num w:numId="3" w16cid:durableId="1371344173">
    <w:abstractNumId w:val="13"/>
  </w:num>
  <w:num w:numId="4" w16cid:durableId="58670445">
    <w:abstractNumId w:val="9"/>
  </w:num>
  <w:num w:numId="5" w16cid:durableId="1777284938">
    <w:abstractNumId w:val="11"/>
  </w:num>
  <w:num w:numId="6" w16cid:durableId="73674041">
    <w:abstractNumId w:val="18"/>
  </w:num>
  <w:num w:numId="7" w16cid:durableId="1105417310">
    <w:abstractNumId w:val="5"/>
  </w:num>
  <w:num w:numId="8" w16cid:durableId="1077746534">
    <w:abstractNumId w:val="15"/>
  </w:num>
  <w:num w:numId="9" w16cid:durableId="2102950961">
    <w:abstractNumId w:val="0"/>
  </w:num>
  <w:num w:numId="10" w16cid:durableId="56249627">
    <w:abstractNumId w:val="14"/>
  </w:num>
  <w:num w:numId="11" w16cid:durableId="1222836456">
    <w:abstractNumId w:val="20"/>
  </w:num>
  <w:num w:numId="12" w16cid:durableId="275328927">
    <w:abstractNumId w:val="3"/>
  </w:num>
  <w:num w:numId="13" w16cid:durableId="1598707902">
    <w:abstractNumId w:val="17"/>
  </w:num>
  <w:num w:numId="14" w16cid:durableId="1093741522">
    <w:abstractNumId w:val="4"/>
  </w:num>
  <w:num w:numId="15" w16cid:durableId="1189563178">
    <w:abstractNumId w:val="2"/>
  </w:num>
  <w:num w:numId="16" w16cid:durableId="1851791335">
    <w:abstractNumId w:val="10"/>
  </w:num>
  <w:num w:numId="17" w16cid:durableId="1190492453">
    <w:abstractNumId w:val="12"/>
  </w:num>
  <w:num w:numId="18" w16cid:durableId="325129221">
    <w:abstractNumId w:val="8"/>
  </w:num>
  <w:num w:numId="19" w16cid:durableId="932740878">
    <w:abstractNumId w:val="7"/>
  </w:num>
  <w:num w:numId="20" w16cid:durableId="1538278854">
    <w:abstractNumId w:val="6"/>
  </w:num>
  <w:num w:numId="21" w16cid:durableId="117388112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5"/>
    <w:rsid w:val="00015BB8"/>
    <w:rsid w:val="00027136"/>
    <w:rsid w:val="0004422D"/>
    <w:rsid w:val="000E1308"/>
    <w:rsid w:val="00107001"/>
    <w:rsid w:val="00114C63"/>
    <w:rsid w:val="00120C24"/>
    <w:rsid w:val="00164B18"/>
    <w:rsid w:val="00185FF3"/>
    <w:rsid w:val="00194DBD"/>
    <w:rsid w:val="001A363F"/>
    <w:rsid w:val="001B2317"/>
    <w:rsid w:val="001C64DE"/>
    <w:rsid w:val="001E19D6"/>
    <w:rsid w:val="001E28E1"/>
    <w:rsid w:val="001E7D6E"/>
    <w:rsid w:val="0022380B"/>
    <w:rsid w:val="0023008B"/>
    <w:rsid w:val="0026029C"/>
    <w:rsid w:val="002E2FE7"/>
    <w:rsid w:val="0031403C"/>
    <w:rsid w:val="003829D1"/>
    <w:rsid w:val="00383442"/>
    <w:rsid w:val="00384BF2"/>
    <w:rsid w:val="00384EFC"/>
    <w:rsid w:val="003C3105"/>
    <w:rsid w:val="003D493B"/>
    <w:rsid w:val="003E4738"/>
    <w:rsid w:val="00405494"/>
    <w:rsid w:val="00461F39"/>
    <w:rsid w:val="004A00CB"/>
    <w:rsid w:val="004B1E7A"/>
    <w:rsid w:val="004B7ACF"/>
    <w:rsid w:val="004E0F30"/>
    <w:rsid w:val="004F428B"/>
    <w:rsid w:val="004F5047"/>
    <w:rsid w:val="005079C0"/>
    <w:rsid w:val="0054593E"/>
    <w:rsid w:val="00546E1E"/>
    <w:rsid w:val="005635B2"/>
    <w:rsid w:val="00574D5D"/>
    <w:rsid w:val="00593F3E"/>
    <w:rsid w:val="005A7EF0"/>
    <w:rsid w:val="005B08C8"/>
    <w:rsid w:val="005B5224"/>
    <w:rsid w:val="005E6C7F"/>
    <w:rsid w:val="006156C7"/>
    <w:rsid w:val="00671A91"/>
    <w:rsid w:val="00676F26"/>
    <w:rsid w:val="006807DC"/>
    <w:rsid w:val="00692413"/>
    <w:rsid w:val="006C2801"/>
    <w:rsid w:val="006C738C"/>
    <w:rsid w:val="006E5E08"/>
    <w:rsid w:val="00723C00"/>
    <w:rsid w:val="00745340"/>
    <w:rsid w:val="00746213"/>
    <w:rsid w:val="007C116C"/>
    <w:rsid w:val="007C5C2D"/>
    <w:rsid w:val="0082644A"/>
    <w:rsid w:val="0083120D"/>
    <w:rsid w:val="008336EE"/>
    <w:rsid w:val="00864B83"/>
    <w:rsid w:val="00866C40"/>
    <w:rsid w:val="00872995"/>
    <w:rsid w:val="008730C3"/>
    <w:rsid w:val="008B44BC"/>
    <w:rsid w:val="008C1B1F"/>
    <w:rsid w:val="0090490B"/>
    <w:rsid w:val="00907A4C"/>
    <w:rsid w:val="009106C3"/>
    <w:rsid w:val="00972C07"/>
    <w:rsid w:val="009B6770"/>
    <w:rsid w:val="009E4188"/>
    <w:rsid w:val="009F0E10"/>
    <w:rsid w:val="009F6152"/>
    <w:rsid w:val="00A024D3"/>
    <w:rsid w:val="00A1219C"/>
    <w:rsid w:val="00A561B6"/>
    <w:rsid w:val="00A873A3"/>
    <w:rsid w:val="00A9491E"/>
    <w:rsid w:val="00AD33B2"/>
    <w:rsid w:val="00AF177D"/>
    <w:rsid w:val="00B2343D"/>
    <w:rsid w:val="00B36B8A"/>
    <w:rsid w:val="00B62ADC"/>
    <w:rsid w:val="00B6636E"/>
    <w:rsid w:val="00BB3788"/>
    <w:rsid w:val="00BB57DB"/>
    <w:rsid w:val="00BC0D65"/>
    <w:rsid w:val="00C01BC3"/>
    <w:rsid w:val="00C179D0"/>
    <w:rsid w:val="00C463A7"/>
    <w:rsid w:val="00C82AAF"/>
    <w:rsid w:val="00CA1160"/>
    <w:rsid w:val="00D22404"/>
    <w:rsid w:val="00D67A8A"/>
    <w:rsid w:val="00D73E8E"/>
    <w:rsid w:val="00D94645"/>
    <w:rsid w:val="00D96800"/>
    <w:rsid w:val="00DB0389"/>
    <w:rsid w:val="00DF27FC"/>
    <w:rsid w:val="00E21DEC"/>
    <w:rsid w:val="00E23F98"/>
    <w:rsid w:val="00E34F22"/>
    <w:rsid w:val="00E35E02"/>
    <w:rsid w:val="00E363F8"/>
    <w:rsid w:val="00E36DB6"/>
    <w:rsid w:val="00E70B95"/>
    <w:rsid w:val="00EA6751"/>
    <w:rsid w:val="00EB7F46"/>
    <w:rsid w:val="00EF4BC1"/>
    <w:rsid w:val="00EF54F0"/>
    <w:rsid w:val="00F01708"/>
    <w:rsid w:val="00F04FA3"/>
    <w:rsid w:val="00F06D8E"/>
    <w:rsid w:val="00F50DA6"/>
    <w:rsid w:val="00FB4785"/>
    <w:rsid w:val="00FD532F"/>
    <w:rsid w:val="00FE3D27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0591A"/>
  <w15:chartTrackingRefBased/>
  <w15:docId w15:val="{BABAD602-A9F8-4729-BBEC-F585C4B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308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36EE"/>
    <w:pPr>
      <w:keepNext/>
      <w:keepLines/>
      <w:numPr>
        <w:numId w:val="1"/>
      </w:numPr>
      <w:spacing w:before="240"/>
      <w:ind w:left="0" w:firstLine="0"/>
      <w:jc w:val="center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2C07"/>
    <w:pPr>
      <w:keepNext/>
      <w:keepLines/>
      <w:numPr>
        <w:ilvl w:val="1"/>
        <w:numId w:val="1"/>
      </w:numPr>
      <w:spacing w:before="40"/>
      <w:ind w:left="576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F98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F98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F98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F98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F98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F98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F98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3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C31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336EE"/>
    <w:rPr>
      <w:rFonts w:asciiTheme="majorHAnsi" w:eastAsiaTheme="majorEastAsia" w:hAnsiTheme="majorHAnsi" w:cstheme="majorBidi"/>
      <w:b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72C07"/>
    <w:rPr>
      <w:rFonts w:asciiTheme="majorHAnsi" w:eastAsiaTheme="majorEastAsia" w:hAnsiTheme="majorHAnsi" w:cstheme="majorBidi"/>
      <w:color w:val="2F5496" w:themeColor="accent1" w:themeShade="BF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F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F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F9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F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F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E19D6"/>
    <w:pPr>
      <w:numPr>
        <w:numId w:val="0"/>
      </w:num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4F5047"/>
    <w:pPr>
      <w:tabs>
        <w:tab w:val="left" w:pos="993"/>
        <w:tab w:val="right" w:leader="dot" w:pos="9736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E19D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E19D6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1E19D6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1E19D6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1E19D6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1E19D6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1E19D6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1E19D6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1E19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9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5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9F6152"/>
    <w:rPr>
      <w:szCs w:val="20"/>
    </w:rPr>
  </w:style>
  <w:style w:type="character" w:customStyle="1" w:styleId="PodnadpisChar">
    <w:name w:val="Podnadpis Char"/>
    <w:basedOn w:val="Standardnpsmoodstavce"/>
    <w:link w:val="Podnadpis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F6152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markedcontent">
    <w:name w:val="markedcontent"/>
    <w:basedOn w:val="Standardnpsmoodstavce"/>
    <w:rsid w:val="009F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8EFB-0D89-4931-B8D6-F2797A00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</dc:creator>
  <cp:keywords/>
  <dc:description/>
  <cp:lastModifiedBy>Paseka Miloš</cp:lastModifiedBy>
  <cp:revision>12</cp:revision>
  <dcterms:created xsi:type="dcterms:W3CDTF">2024-08-29T08:39:00Z</dcterms:created>
  <dcterms:modified xsi:type="dcterms:W3CDTF">2024-08-30T07:47:00Z</dcterms:modified>
</cp:coreProperties>
</file>